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633CD" w14:textId="77777777" w:rsidR="006804CD" w:rsidRDefault="006804CD" w:rsidP="006804CD">
      <w:pPr>
        <w:spacing w:after="0" w:line="240" w:lineRule="auto"/>
        <w:rPr>
          <w:u w:val="single"/>
        </w:rPr>
      </w:pPr>
      <w:bookmarkStart w:id="0" w:name="_Hlk67314793"/>
      <w:bookmarkStart w:id="1" w:name="_GoBack"/>
      <w:bookmarkEnd w:id="0"/>
      <w:bookmarkEnd w:id="1"/>
      <w:r w:rsidRPr="0083740E">
        <w:rPr>
          <w:u w:val="single"/>
        </w:rPr>
        <w:t>Attendees:</w:t>
      </w:r>
    </w:p>
    <w:p w14:paraId="710E27EC" w14:textId="77777777" w:rsidR="006804CD" w:rsidRPr="0083740E" w:rsidRDefault="006804CD" w:rsidP="006804CD">
      <w:pPr>
        <w:spacing w:after="0" w:line="240" w:lineRule="auto"/>
      </w:pPr>
      <w:r>
        <w:t>Joe Perez, UTC (Chairman)</w:t>
      </w:r>
    </w:p>
    <w:p w14:paraId="2F4E3193" w14:textId="77777777" w:rsidR="006804CD" w:rsidRDefault="006804CD" w:rsidP="006804CD">
      <w:pPr>
        <w:spacing w:after="0" w:line="240" w:lineRule="auto"/>
      </w:pPr>
      <w:r w:rsidRPr="0083740E">
        <w:t>A</w:t>
      </w:r>
      <w:r>
        <w:t>my Hamilton, T</w:t>
      </w:r>
      <w:r w:rsidRPr="0083740E">
        <w:t>rinity</w:t>
      </w:r>
      <w:r>
        <w:t xml:space="preserve"> R</w:t>
      </w:r>
      <w:r w:rsidRPr="0083740E">
        <w:t>ail</w:t>
      </w:r>
    </w:p>
    <w:p w14:paraId="65D09FDA" w14:textId="77777777" w:rsidR="006804CD" w:rsidRDefault="006804CD" w:rsidP="006804CD">
      <w:pPr>
        <w:spacing w:after="0" w:line="240" w:lineRule="auto"/>
      </w:pPr>
      <w:r>
        <w:t xml:space="preserve">Brian Bartley, </w:t>
      </w:r>
      <w:proofErr w:type="spellStart"/>
      <w:r>
        <w:t>Alltranstek</w:t>
      </w:r>
      <w:proofErr w:type="spellEnd"/>
    </w:p>
    <w:p w14:paraId="0F916B07" w14:textId="77777777" w:rsidR="006804CD" w:rsidRDefault="006804CD" w:rsidP="006804CD">
      <w:pPr>
        <w:spacing w:after="0" w:line="240" w:lineRule="auto"/>
      </w:pPr>
      <w:r>
        <w:t>Craig Jorgenson, SI</w:t>
      </w:r>
    </w:p>
    <w:p w14:paraId="58C3B68C" w14:textId="77777777" w:rsidR="006804CD" w:rsidRDefault="006804CD" w:rsidP="006804CD">
      <w:pPr>
        <w:spacing w:after="0" w:line="240" w:lineRule="auto"/>
      </w:pPr>
      <w:r>
        <w:t>Dan Welch, SMBC</w:t>
      </w:r>
    </w:p>
    <w:p w14:paraId="673EEBE1" w14:textId="77777777" w:rsidR="006804CD" w:rsidRDefault="006804CD" w:rsidP="006804CD">
      <w:pPr>
        <w:spacing w:after="0" w:line="240" w:lineRule="auto"/>
      </w:pPr>
    </w:p>
    <w:p w14:paraId="73EBFA77" w14:textId="1274EF75" w:rsidR="006804CD" w:rsidRDefault="006804CD" w:rsidP="006804CD">
      <w:pPr>
        <w:pStyle w:val="ListParagraph"/>
        <w:numPr>
          <w:ilvl w:val="0"/>
          <w:numId w:val="5"/>
        </w:numPr>
        <w:spacing w:after="0" w:line="240" w:lineRule="auto"/>
      </w:pPr>
      <w:r w:rsidRPr="00E33BE0">
        <w:t>Anti -Trust</w:t>
      </w:r>
      <w:r>
        <w:t xml:space="preserve"> Statement </w:t>
      </w:r>
    </w:p>
    <w:p w14:paraId="3EF49E5E" w14:textId="77777777" w:rsidR="006804CD" w:rsidRPr="00E33BE0" w:rsidRDefault="006804CD" w:rsidP="006804CD">
      <w:pPr>
        <w:spacing w:after="0" w:line="240" w:lineRule="auto"/>
      </w:pPr>
    </w:p>
    <w:p w14:paraId="468CA4E3" w14:textId="65A5A7EF" w:rsidR="006804CD" w:rsidRDefault="006804CD" w:rsidP="006804CD">
      <w:pPr>
        <w:pStyle w:val="ListParagraph"/>
        <w:numPr>
          <w:ilvl w:val="0"/>
          <w:numId w:val="5"/>
        </w:numPr>
        <w:spacing w:after="0" w:line="240" w:lineRule="auto"/>
      </w:pPr>
      <w:r w:rsidRPr="00E33BE0">
        <w:t>Priority for publication –</w:t>
      </w:r>
      <w:r>
        <w:t xml:space="preserve"> Missing our original target for proposal </w:t>
      </w:r>
      <w:r w:rsidRPr="00E33BE0">
        <w:t>before</w:t>
      </w:r>
      <w:r>
        <w:t xml:space="preserve"> April</w:t>
      </w:r>
      <w:r w:rsidRPr="00E33BE0">
        <w:t xml:space="preserve"> 1, 2021</w:t>
      </w:r>
      <w:r>
        <w:t>.  Meet the May 1</w:t>
      </w:r>
      <w:r w:rsidRPr="006804CD">
        <w:rPr>
          <w:vertAlign w:val="superscript"/>
        </w:rPr>
        <w:t>st</w:t>
      </w:r>
      <w:r>
        <w:t xml:space="preserve"> </w:t>
      </w:r>
    </w:p>
    <w:p w14:paraId="6D987C51" w14:textId="77777777" w:rsidR="003D4B0D" w:rsidRDefault="003D4B0D" w:rsidP="003D4B0D">
      <w:pPr>
        <w:pStyle w:val="ListParagraph"/>
      </w:pPr>
    </w:p>
    <w:p w14:paraId="1F28718A" w14:textId="0928C5A1" w:rsidR="003D4B0D" w:rsidRDefault="00B12B17" w:rsidP="006804CD">
      <w:pPr>
        <w:pStyle w:val="ListParagraph"/>
        <w:numPr>
          <w:ilvl w:val="0"/>
          <w:numId w:val="5"/>
        </w:numPr>
        <w:spacing w:after="0" w:line="240" w:lineRule="auto"/>
      </w:pPr>
      <w:r>
        <w:t>Review of Definitions and Examples of heater systems</w:t>
      </w:r>
    </w:p>
    <w:p w14:paraId="7DEDEF1F" w14:textId="77777777" w:rsidR="006804CD" w:rsidRDefault="006804CD" w:rsidP="006804CD">
      <w:pPr>
        <w:pStyle w:val="ListParagraph"/>
        <w:numPr>
          <w:ilvl w:val="0"/>
          <w:numId w:val="1"/>
        </w:numPr>
        <w:spacing w:after="0" w:line="240" w:lineRule="auto"/>
      </w:pPr>
      <w:r>
        <w:t>Chapter 1, Appendix B, and D are the major needs to address.</w:t>
      </w:r>
    </w:p>
    <w:p w14:paraId="2BFB759E" w14:textId="77777777" w:rsidR="006804CD" w:rsidRDefault="006804CD" w:rsidP="006804CD">
      <w:pPr>
        <w:pStyle w:val="ListParagraph"/>
        <w:numPr>
          <w:ilvl w:val="0"/>
          <w:numId w:val="1"/>
        </w:numPr>
        <w:spacing w:after="0" w:line="240" w:lineRule="auto"/>
      </w:pPr>
      <w:r>
        <w:t>Forms and Appendix C are minor needs</w:t>
      </w:r>
    </w:p>
    <w:p w14:paraId="68DC03E4" w14:textId="77777777" w:rsidR="006804CD" w:rsidRDefault="006804CD" w:rsidP="006804CD">
      <w:pPr>
        <w:pStyle w:val="ListParagraph"/>
        <w:numPr>
          <w:ilvl w:val="0"/>
          <w:numId w:val="1"/>
        </w:numPr>
        <w:spacing w:after="0" w:line="240" w:lineRule="auto"/>
      </w:pPr>
      <w:r>
        <w:t>TF agreed that SE includes heater systems</w:t>
      </w:r>
    </w:p>
    <w:p w14:paraId="5B8E2555" w14:textId="29E2E62F" w:rsidR="006804CD" w:rsidRDefault="006804CD" w:rsidP="006804CD">
      <w:pPr>
        <w:pStyle w:val="ListParagraph"/>
        <w:numPr>
          <w:ilvl w:val="1"/>
          <w:numId w:val="1"/>
        </w:numPr>
        <w:spacing w:after="0" w:line="240" w:lineRule="auto"/>
      </w:pPr>
      <w:r>
        <w:t>Interior and Exterior definitions to be clarified.  How will we address impedance heaters?  Steam Jacketed siphon pipes are to be treated as interior heater system.</w:t>
      </w:r>
    </w:p>
    <w:p w14:paraId="00A55E16" w14:textId="2521BC40" w:rsidR="006804CD" w:rsidRDefault="006804CD" w:rsidP="006804CD">
      <w:pPr>
        <w:pStyle w:val="ListParagraph"/>
        <w:numPr>
          <w:ilvl w:val="1"/>
          <w:numId w:val="1"/>
        </w:numPr>
        <w:spacing w:after="0" w:line="240" w:lineRule="auto"/>
      </w:pPr>
      <w:r>
        <w:t>Reviewed the definitions in M1002</w:t>
      </w:r>
    </w:p>
    <w:p w14:paraId="534559D1" w14:textId="77777777" w:rsidR="006804CD" w:rsidRDefault="006804CD" w:rsidP="006804CD">
      <w:pPr>
        <w:spacing w:after="0" w:line="240" w:lineRule="auto"/>
      </w:pPr>
    </w:p>
    <w:p w14:paraId="0EFE85ED" w14:textId="11FA8823" w:rsidR="006804CD" w:rsidRDefault="006804CD" w:rsidP="006804CD">
      <w:pPr>
        <w:spacing w:after="0" w:line="240" w:lineRule="auto"/>
      </w:pPr>
      <w:r w:rsidRPr="00823FF7">
        <w:rPr>
          <w:noProof/>
        </w:rPr>
        <w:drawing>
          <wp:inline distT="0" distB="0" distL="0" distR="0" wp14:anchorId="6B738C8A" wp14:editId="4AE36DDD">
            <wp:extent cx="5534065" cy="4000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4065" cy="4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52F31" w14:textId="26937C1F" w:rsidR="006804CD" w:rsidRDefault="006804CD" w:rsidP="006804CD">
      <w:pPr>
        <w:spacing w:after="0" w:line="240" w:lineRule="auto"/>
      </w:pPr>
    </w:p>
    <w:p w14:paraId="030D78E6" w14:textId="08077A53" w:rsidR="006804CD" w:rsidRDefault="006804CD" w:rsidP="006804CD">
      <w:pPr>
        <w:spacing w:after="0" w:line="240" w:lineRule="auto"/>
      </w:pPr>
      <w:r w:rsidRPr="00823FF7">
        <w:rPr>
          <w:noProof/>
        </w:rPr>
        <w:drawing>
          <wp:inline distT="0" distB="0" distL="0" distR="0" wp14:anchorId="1DC3CCB0" wp14:editId="709E67F8">
            <wp:extent cx="5943600" cy="40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C84EA" w14:textId="5A7FBD6A" w:rsidR="006804CD" w:rsidRDefault="006804CD" w:rsidP="006804CD">
      <w:pPr>
        <w:spacing w:after="0" w:line="240" w:lineRule="auto"/>
      </w:pPr>
    </w:p>
    <w:p w14:paraId="45D7A174" w14:textId="77777777" w:rsidR="006804CD" w:rsidRDefault="006804CD" w:rsidP="006804CD">
      <w:pPr>
        <w:spacing w:after="0" w:line="240" w:lineRule="auto"/>
      </w:pPr>
    </w:p>
    <w:p w14:paraId="719267F7" w14:textId="67E9C0A4" w:rsidR="006804CD" w:rsidRDefault="006804CD" w:rsidP="006804CD">
      <w:pPr>
        <w:spacing w:after="0" w:line="240" w:lineRule="auto"/>
      </w:pPr>
      <w:r w:rsidRPr="00823FF7">
        <w:rPr>
          <w:noProof/>
        </w:rPr>
        <w:drawing>
          <wp:inline distT="0" distB="0" distL="0" distR="0" wp14:anchorId="5F10EDA9" wp14:editId="239F5729">
            <wp:extent cx="5943600" cy="455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045D9" w14:textId="77777777" w:rsidR="006804CD" w:rsidRDefault="006804CD" w:rsidP="006804CD">
      <w:pPr>
        <w:spacing w:after="0" w:line="240" w:lineRule="auto"/>
      </w:pPr>
    </w:p>
    <w:p w14:paraId="3AA6D291" w14:textId="217066D7" w:rsidR="006804CD" w:rsidRDefault="006804CD" w:rsidP="006804CD">
      <w:pPr>
        <w:pStyle w:val="ListParagraph"/>
        <w:numPr>
          <w:ilvl w:val="0"/>
          <w:numId w:val="6"/>
        </w:numPr>
      </w:pPr>
      <w:r>
        <w:t xml:space="preserve">Interior Heater system:  (examples listed below.  Where best to introduce as Chapter 5 and/or Chapter 1 definitions?) </w:t>
      </w:r>
    </w:p>
    <w:p w14:paraId="2CE8D107" w14:textId="77777777" w:rsidR="006804CD" w:rsidRDefault="006804CD" w:rsidP="006804CD">
      <w:pPr>
        <w:pStyle w:val="ListParagraph"/>
        <w:numPr>
          <w:ilvl w:val="0"/>
          <w:numId w:val="2"/>
        </w:numPr>
        <w:ind w:left="1906"/>
      </w:pPr>
      <w:r>
        <w:t xml:space="preserve">supported piping system within the tank interior, </w:t>
      </w:r>
    </w:p>
    <w:p w14:paraId="7AA7D6E6" w14:textId="77777777" w:rsidR="006804CD" w:rsidRDefault="006804CD" w:rsidP="006804CD">
      <w:pPr>
        <w:pStyle w:val="ListParagraph"/>
        <w:numPr>
          <w:ilvl w:val="0"/>
          <w:numId w:val="2"/>
        </w:numPr>
        <w:ind w:left="1906"/>
      </w:pPr>
      <w:r>
        <w:t>impedance / electrical heater affixed typically at heads,</w:t>
      </w:r>
    </w:p>
    <w:p w14:paraId="13EC4233" w14:textId="38D886F3" w:rsidR="006804CD" w:rsidRDefault="006804CD" w:rsidP="006804CD">
      <w:pPr>
        <w:pStyle w:val="ListParagraph"/>
        <w:numPr>
          <w:ilvl w:val="0"/>
          <w:numId w:val="2"/>
        </w:numPr>
        <w:ind w:left="1906"/>
      </w:pPr>
      <w:r>
        <w:t>jacketed siphon pipes affixed to fittings arrangement.</w:t>
      </w:r>
      <w:r w:rsidR="00B734A0">
        <w:t xml:space="preserve">  It was noted that jacketed siphon pipes would not fully comply to Chapter 5 requirements.</w:t>
      </w:r>
    </w:p>
    <w:p w14:paraId="65BDEDC5" w14:textId="77777777" w:rsidR="008506AC" w:rsidRDefault="008506AC" w:rsidP="008506AC"/>
    <w:p w14:paraId="7B4168C3" w14:textId="49FBADF5" w:rsidR="006672EC" w:rsidRDefault="006672EC" w:rsidP="00FE52D0">
      <w:pPr>
        <w:pStyle w:val="ListParagraph"/>
        <w:numPr>
          <w:ilvl w:val="0"/>
          <w:numId w:val="5"/>
        </w:numPr>
        <w:spacing w:after="0" w:line="240" w:lineRule="auto"/>
      </w:pPr>
      <w:r>
        <w:t>Qualification Requirements and Appendix B</w:t>
      </w:r>
    </w:p>
    <w:p w14:paraId="19370591" w14:textId="77777777" w:rsidR="006804CD" w:rsidRDefault="006804CD" w:rsidP="006804CD">
      <w:pPr>
        <w:spacing w:after="0" w:line="240" w:lineRule="auto"/>
      </w:pPr>
    </w:p>
    <w:p w14:paraId="773B101B" w14:textId="307D179D" w:rsidR="006804CD" w:rsidRDefault="006804CD" w:rsidP="006804C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Understood the SE definition is all encompassing heater systems; however, TF will recommend for Appendix B to delineate the applicability of the interior and exterior requirements.  For example, exterior heater coils do not require qualification (only testing at time of manufacture) </w:t>
      </w:r>
    </w:p>
    <w:p w14:paraId="49FFA09A" w14:textId="77777777" w:rsidR="006804CD" w:rsidRDefault="006804CD" w:rsidP="006804CD">
      <w:pPr>
        <w:spacing w:after="0" w:line="240" w:lineRule="auto"/>
        <w:ind w:left="360"/>
      </w:pPr>
    </w:p>
    <w:p w14:paraId="3F3B4FBC" w14:textId="12B2A995" w:rsidR="006804CD" w:rsidRDefault="006804CD" w:rsidP="006804CD">
      <w:pPr>
        <w:pStyle w:val="ListParagraph"/>
        <w:numPr>
          <w:ilvl w:val="0"/>
          <w:numId w:val="1"/>
        </w:numPr>
      </w:pPr>
      <w:r>
        <w:t>Do we add to the exceptions list of Appendix B, 3.1.6?</w:t>
      </w:r>
      <w:r w:rsidR="00B734A0">
        <w:t xml:space="preserve">  TF does not propose adding to this list of exceptions</w:t>
      </w:r>
    </w:p>
    <w:p w14:paraId="616EA2E1" w14:textId="16F245BC" w:rsidR="006804CD" w:rsidRDefault="006804CD" w:rsidP="006804CD">
      <w:pPr>
        <w:pStyle w:val="ListParagraph"/>
        <w:numPr>
          <w:ilvl w:val="0"/>
          <w:numId w:val="1"/>
        </w:numPr>
      </w:pPr>
      <w:r>
        <w:t>Currently SE category H is reserved.  What proposal can be made based for interior heater systems?</w:t>
      </w:r>
      <w:r w:rsidR="00476740">
        <w:t xml:space="preserve"> </w:t>
      </w:r>
      <w:r w:rsidR="00476740" w:rsidRPr="00476740">
        <w:rPr>
          <w:b/>
          <w:bCs/>
        </w:rPr>
        <w:t>Appendix B</w:t>
      </w:r>
      <w:r w:rsidR="00476740">
        <w:rPr>
          <w:b/>
          <w:bCs/>
        </w:rPr>
        <w:t xml:space="preserve"> paragraphs of </w:t>
      </w:r>
      <w:r w:rsidR="00C44AE2">
        <w:rPr>
          <w:b/>
          <w:bCs/>
        </w:rPr>
        <w:t xml:space="preserve">SE specific to </w:t>
      </w:r>
      <w:r w:rsidR="00131B46">
        <w:rPr>
          <w:b/>
          <w:bCs/>
        </w:rPr>
        <w:t xml:space="preserve">3.6.10.7.1, </w:t>
      </w:r>
      <w:r w:rsidR="00635E52">
        <w:rPr>
          <w:b/>
          <w:bCs/>
        </w:rPr>
        <w:t>3.6.11.8</w:t>
      </w:r>
      <w:r w:rsidR="00131B46">
        <w:rPr>
          <w:b/>
          <w:bCs/>
        </w:rPr>
        <w:t xml:space="preserve"> and 3.6.</w:t>
      </w:r>
      <w:r w:rsidR="00991709">
        <w:rPr>
          <w:b/>
          <w:bCs/>
        </w:rPr>
        <w:t>12.7</w:t>
      </w:r>
      <w:r w:rsidR="00635E52">
        <w:rPr>
          <w:b/>
          <w:bCs/>
        </w:rPr>
        <w:t xml:space="preserve"> </w:t>
      </w:r>
    </w:p>
    <w:p w14:paraId="6C6B8BCB" w14:textId="4281BA05" w:rsidR="006804CD" w:rsidRDefault="006804CD" w:rsidP="006804CD">
      <w:pPr>
        <w:pStyle w:val="ListParagraph"/>
        <w:numPr>
          <w:ilvl w:val="0"/>
          <w:numId w:val="1"/>
        </w:numPr>
      </w:pPr>
      <w:r w:rsidRPr="006804CD">
        <w:rPr>
          <w:b/>
          <w:bCs/>
        </w:rPr>
        <w:t>Appendix D</w:t>
      </w:r>
      <w:r>
        <w:t>…….how to address impedance heaters for qual</w:t>
      </w:r>
      <w:r w:rsidR="00B734A0">
        <w:t>ification</w:t>
      </w:r>
      <w:r>
        <w:t>.  Only interior heaters</w:t>
      </w:r>
      <w:r w:rsidR="00B734A0">
        <w:t xml:space="preserve"> require qualification</w:t>
      </w:r>
      <w:r>
        <w:t>. Do we need to call exception on exterior heaters (agreed</w:t>
      </w:r>
      <w:proofErr w:type="gramStart"/>
      <w:r>
        <w:t>)</w:t>
      </w:r>
      <w:r w:rsidR="00B734A0">
        <w:t>.</w:t>
      </w:r>
      <w:proofErr w:type="gramEnd"/>
      <w:r>
        <w:t xml:space="preserve">  </w:t>
      </w:r>
      <w:r w:rsidR="00B734A0">
        <w:t xml:space="preserve">Current language in Appendix D notes that </w:t>
      </w:r>
      <w:r>
        <w:t xml:space="preserve">Impedance heaters are excluded </w:t>
      </w:r>
      <w:r w:rsidR="00B734A0">
        <w:t xml:space="preserve">from a hydrostatic test Reference </w:t>
      </w:r>
      <w:r>
        <w:t>4.2.1……</w:t>
      </w:r>
      <w:r w:rsidR="00B734A0" w:rsidRPr="00B734A0">
        <w:t xml:space="preserve"> </w:t>
      </w:r>
      <w:r w:rsidR="00B734A0" w:rsidRPr="00B734A0">
        <w:rPr>
          <w:i/>
          <w:iCs/>
        </w:rPr>
        <w:t xml:space="preserve">This procedure is applicable to pressure and </w:t>
      </w:r>
      <w:proofErr w:type="spellStart"/>
      <w:r w:rsidR="00B734A0" w:rsidRPr="00B734A0">
        <w:rPr>
          <w:i/>
          <w:iCs/>
        </w:rPr>
        <w:t>nonpressure</w:t>
      </w:r>
      <w:proofErr w:type="spellEnd"/>
      <w:r w:rsidR="00B734A0" w:rsidRPr="00B734A0">
        <w:rPr>
          <w:i/>
          <w:iCs/>
        </w:rPr>
        <w:t xml:space="preserve"> tank car tanks, and interior heater systems. It does not apply to cryogenic cars and their fittings nor to electric heater coil systems, which utilize special procedures not covered herein</w:t>
      </w:r>
      <w:r>
        <w:t>…review this language to use in Appendix B?</w:t>
      </w:r>
    </w:p>
    <w:p w14:paraId="05CA2DFB" w14:textId="3EFD6416" w:rsidR="008F55BF" w:rsidRPr="008506AC" w:rsidRDefault="008F55BF" w:rsidP="006804CD">
      <w:pPr>
        <w:pStyle w:val="ListParagraph"/>
        <w:numPr>
          <w:ilvl w:val="0"/>
          <w:numId w:val="1"/>
        </w:numPr>
      </w:pPr>
      <w:r>
        <w:rPr>
          <w:b/>
          <w:bCs/>
        </w:rPr>
        <w:t>TF agreed to clarify that interior heaters requiring qualifications are those only designed for heating mediums of fluid.  Impedance heaters are specialized and need to meet the Intri</w:t>
      </w:r>
      <w:r w:rsidR="0005048A">
        <w:rPr>
          <w:b/>
          <w:bCs/>
        </w:rPr>
        <w:t>n</w:t>
      </w:r>
      <w:r w:rsidR="00D6599D">
        <w:rPr>
          <w:b/>
          <w:bCs/>
        </w:rPr>
        <w:t>si</w:t>
      </w:r>
      <w:r>
        <w:rPr>
          <w:b/>
          <w:bCs/>
        </w:rPr>
        <w:t>cally safe requirements</w:t>
      </w:r>
      <w:r w:rsidR="00BD791A">
        <w:rPr>
          <w:b/>
          <w:bCs/>
        </w:rPr>
        <w:t xml:space="preserve"> (Appendix A 3.13)</w:t>
      </w:r>
      <w:r>
        <w:rPr>
          <w:b/>
          <w:bCs/>
        </w:rPr>
        <w:t>.</w:t>
      </w:r>
    </w:p>
    <w:p w14:paraId="19F58838" w14:textId="77777777" w:rsidR="008506AC" w:rsidRPr="008F55BF" w:rsidRDefault="008506AC" w:rsidP="008506AC"/>
    <w:p w14:paraId="20F6C840" w14:textId="33DFC1D9" w:rsidR="006804CD" w:rsidRPr="00E33BE0" w:rsidRDefault="006804CD" w:rsidP="006804CD">
      <w:pPr>
        <w:pStyle w:val="ListParagraph"/>
        <w:numPr>
          <w:ilvl w:val="0"/>
          <w:numId w:val="5"/>
        </w:numPr>
        <w:spacing w:after="0" w:line="240" w:lineRule="auto"/>
      </w:pPr>
      <w:r w:rsidRPr="00E33BE0">
        <w:t>Set next meeting</w:t>
      </w:r>
      <w:r>
        <w:t xml:space="preserve"> – </w:t>
      </w:r>
      <w:r w:rsidRPr="006804CD">
        <w:rPr>
          <w:b/>
          <w:bCs/>
        </w:rPr>
        <w:t>April 8, 2021 at 2:00 PM Central Time.</w:t>
      </w:r>
      <w:r>
        <w:t xml:space="preserve">  </w:t>
      </w:r>
    </w:p>
    <w:p w14:paraId="366CF8A5" w14:textId="77777777" w:rsidR="006804CD" w:rsidRPr="00E33BE0" w:rsidRDefault="006804CD" w:rsidP="006804CD">
      <w:pPr>
        <w:spacing w:after="0" w:line="240" w:lineRule="auto"/>
      </w:pPr>
    </w:p>
    <w:p w14:paraId="18ED1795" w14:textId="77777777" w:rsidR="00823FF7" w:rsidRDefault="00823FF7" w:rsidP="00823FF7">
      <w:pPr>
        <w:spacing w:after="0" w:line="240" w:lineRule="auto"/>
      </w:pPr>
    </w:p>
    <w:p w14:paraId="3DCA4E45" w14:textId="462BBBBB" w:rsidR="00823FF7" w:rsidRDefault="00823FF7" w:rsidP="00823FF7">
      <w:pPr>
        <w:spacing w:after="0" w:line="240" w:lineRule="auto"/>
      </w:pPr>
    </w:p>
    <w:p w14:paraId="1BBE8375" w14:textId="77777777" w:rsidR="00823FF7" w:rsidRDefault="00823FF7" w:rsidP="00823FF7">
      <w:pPr>
        <w:spacing w:after="0" w:line="240" w:lineRule="auto"/>
      </w:pPr>
    </w:p>
    <w:p w14:paraId="424652C0" w14:textId="2A960F41" w:rsidR="00823FF7" w:rsidRDefault="00823FF7" w:rsidP="00823FF7">
      <w:pPr>
        <w:spacing w:after="0" w:line="240" w:lineRule="auto"/>
      </w:pPr>
    </w:p>
    <w:p w14:paraId="239D66F6" w14:textId="77777777" w:rsidR="00823FF7" w:rsidRDefault="00823FF7" w:rsidP="00823FF7">
      <w:pPr>
        <w:spacing w:after="0" w:line="240" w:lineRule="auto"/>
      </w:pPr>
    </w:p>
    <w:p w14:paraId="3AFE641B" w14:textId="1AECA1DC" w:rsidR="00B35E8A" w:rsidRDefault="00B35E8A"/>
    <w:p w14:paraId="53784C75" w14:textId="77777777" w:rsidR="00823FF7" w:rsidRDefault="00823FF7" w:rsidP="00823FF7"/>
    <w:p w14:paraId="3D1526E4" w14:textId="77777777" w:rsidR="006804CD" w:rsidRDefault="006804CD"/>
    <w:sectPr w:rsidR="006804C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ECB5D" w14:textId="77777777" w:rsidR="006804CD" w:rsidRDefault="006804CD" w:rsidP="006804CD">
      <w:pPr>
        <w:spacing w:after="0" w:line="240" w:lineRule="auto"/>
      </w:pPr>
      <w:r>
        <w:separator/>
      </w:r>
    </w:p>
  </w:endnote>
  <w:endnote w:type="continuationSeparator" w:id="0">
    <w:p w14:paraId="6B8BA041" w14:textId="77777777" w:rsidR="006804CD" w:rsidRDefault="006804CD" w:rsidP="0068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7CD49" w14:textId="00BC564D" w:rsidR="008506AC" w:rsidRDefault="008506AC">
    <w:pPr>
      <w:pStyle w:val="Footer"/>
    </w:pPr>
    <w:r>
      <w:t>Issued March 22,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4925C" w14:textId="77777777" w:rsidR="006804CD" w:rsidRDefault="006804CD" w:rsidP="006804CD">
      <w:pPr>
        <w:spacing w:after="0" w:line="240" w:lineRule="auto"/>
      </w:pPr>
      <w:r>
        <w:separator/>
      </w:r>
    </w:p>
  </w:footnote>
  <w:footnote w:type="continuationSeparator" w:id="0">
    <w:p w14:paraId="51472754" w14:textId="77777777" w:rsidR="006804CD" w:rsidRDefault="006804CD" w:rsidP="0068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334A" w14:textId="77777777" w:rsidR="006804CD" w:rsidRPr="00E33BE0" w:rsidRDefault="006804CD" w:rsidP="006804CD">
    <w:pPr>
      <w:spacing w:after="0" w:line="240" w:lineRule="auto"/>
      <w:jc w:val="center"/>
      <w:rPr>
        <w:b/>
        <w:bCs/>
      </w:rPr>
    </w:pPr>
    <w:r w:rsidRPr="00E33BE0">
      <w:rPr>
        <w:b/>
        <w:bCs/>
      </w:rPr>
      <w:t>T</w:t>
    </w:r>
    <w:r>
      <w:rPr>
        <w:b/>
        <w:bCs/>
      </w:rPr>
      <w:t>91</w:t>
    </w:r>
    <w:r w:rsidRPr="00E33BE0">
      <w:rPr>
        <w:b/>
        <w:bCs/>
      </w:rPr>
      <w:t>.</w:t>
    </w:r>
    <w:r>
      <w:rPr>
        <w:b/>
        <w:bCs/>
      </w:rPr>
      <w:t>2.7</w:t>
    </w:r>
    <w:r w:rsidRPr="00E33BE0">
      <w:rPr>
        <w:b/>
        <w:bCs/>
      </w:rPr>
      <w:t xml:space="preserve"> Taskforce Meeting</w:t>
    </w:r>
  </w:p>
  <w:p w14:paraId="6E90613E" w14:textId="7D06FB66" w:rsidR="006804CD" w:rsidRPr="00E33BE0" w:rsidRDefault="006804CD" w:rsidP="006804CD">
    <w:pPr>
      <w:spacing w:after="0" w:line="240" w:lineRule="auto"/>
      <w:jc w:val="center"/>
      <w:rPr>
        <w:b/>
        <w:bCs/>
      </w:rPr>
    </w:pPr>
    <w:r w:rsidRPr="00E33BE0">
      <w:rPr>
        <w:b/>
        <w:bCs/>
      </w:rPr>
      <w:t xml:space="preserve">Notes of </w:t>
    </w:r>
    <w:r>
      <w:rPr>
        <w:b/>
        <w:bCs/>
      </w:rPr>
      <w:t xml:space="preserve">March </w:t>
    </w:r>
    <w:r w:rsidR="00FF6195">
      <w:rPr>
        <w:b/>
        <w:bCs/>
      </w:rPr>
      <w:t>16</w:t>
    </w:r>
    <w:r w:rsidRPr="00E33BE0">
      <w:rPr>
        <w:b/>
        <w:bCs/>
      </w:rPr>
      <w:t>, 202</w:t>
    </w:r>
    <w:r>
      <w:rPr>
        <w:b/>
        <w:bCs/>
      </w:rPr>
      <w:t>1</w:t>
    </w:r>
  </w:p>
  <w:p w14:paraId="33EF6CAD" w14:textId="7E956046" w:rsidR="006804CD" w:rsidRPr="00E33BE0" w:rsidRDefault="006804CD" w:rsidP="006804CD">
    <w:pPr>
      <w:spacing w:after="0" w:line="240" w:lineRule="auto"/>
      <w:jc w:val="center"/>
      <w:rPr>
        <w:b/>
        <w:bCs/>
      </w:rPr>
    </w:pPr>
    <w:r>
      <w:rPr>
        <w:b/>
        <w:bCs/>
      </w:rPr>
      <w:t>1</w:t>
    </w:r>
    <w:r w:rsidRPr="00E33BE0">
      <w:rPr>
        <w:b/>
        <w:bCs/>
      </w:rPr>
      <w:t>:</w:t>
    </w:r>
    <w:r>
      <w:rPr>
        <w:b/>
        <w:bCs/>
      </w:rPr>
      <w:t>00</w:t>
    </w:r>
    <w:r w:rsidR="008506AC">
      <w:rPr>
        <w:b/>
        <w:bCs/>
      </w:rPr>
      <w:t>PM</w:t>
    </w:r>
    <w:r w:rsidRPr="00E33BE0">
      <w:rPr>
        <w:b/>
        <w:bCs/>
      </w:rPr>
      <w:t>-</w:t>
    </w:r>
    <w:r w:rsidR="008506AC">
      <w:rPr>
        <w:b/>
        <w:bCs/>
      </w:rPr>
      <w:t>2</w:t>
    </w:r>
    <w:r w:rsidRPr="00E33BE0">
      <w:rPr>
        <w:b/>
        <w:bCs/>
      </w:rPr>
      <w:t>:</w:t>
    </w:r>
    <w:r>
      <w:rPr>
        <w:b/>
        <w:bCs/>
      </w:rPr>
      <w:t>0</w:t>
    </w:r>
    <w:r w:rsidRPr="00E33BE0">
      <w:rPr>
        <w:b/>
        <w:bCs/>
      </w:rPr>
      <w:t>0</w:t>
    </w:r>
    <w:r w:rsidR="008506AC">
      <w:rPr>
        <w:b/>
        <w:bCs/>
      </w:rPr>
      <w:t>P</w:t>
    </w:r>
    <w:r>
      <w:rPr>
        <w:b/>
        <w:bCs/>
      </w:rPr>
      <w:t>M</w:t>
    </w:r>
    <w:r w:rsidRPr="00E33BE0">
      <w:rPr>
        <w:b/>
        <w:bCs/>
      </w:rPr>
      <w:t xml:space="preserve"> Central</w:t>
    </w:r>
  </w:p>
  <w:p w14:paraId="390E55B3" w14:textId="77777777" w:rsidR="006804CD" w:rsidRDefault="00680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F5C45"/>
    <w:multiLevelType w:val="hybridMultilevel"/>
    <w:tmpl w:val="3A2E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218AD"/>
    <w:multiLevelType w:val="hybridMultilevel"/>
    <w:tmpl w:val="C31C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828C5"/>
    <w:multiLevelType w:val="hybridMultilevel"/>
    <w:tmpl w:val="8C4CE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E2169"/>
    <w:multiLevelType w:val="hybridMultilevel"/>
    <w:tmpl w:val="44E4324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618F0908"/>
    <w:multiLevelType w:val="hybridMultilevel"/>
    <w:tmpl w:val="541E7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B34563"/>
    <w:multiLevelType w:val="hybridMultilevel"/>
    <w:tmpl w:val="78E20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C07D53"/>
    <w:multiLevelType w:val="hybridMultilevel"/>
    <w:tmpl w:val="7820D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34070"/>
    <w:multiLevelType w:val="hybridMultilevel"/>
    <w:tmpl w:val="ACD4E350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F7"/>
    <w:rsid w:val="00027E2C"/>
    <w:rsid w:val="0005048A"/>
    <w:rsid w:val="00131B46"/>
    <w:rsid w:val="00182EB3"/>
    <w:rsid w:val="003D4B0D"/>
    <w:rsid w:val="00472F5D"/>
    <w:rsid w:val="00476740"/>
    <w:rsid w:val="00635E52"/>
    <w:rsid w:val="006672EC"/>
    <w:rsid w:val="006804CD"/>
    <w:rsid w:val="00823FF7"/>
    <w:rsid w:val="008506AC"/>
    <w:rsid w:val="008F55BF"/>
    <w:rsid w:val="00991709"/>
    <w:rsid w:val="00B12B17"/>
    <w:rsid w:val="00B35E8A"/>
    <w:rsid w:val="00B734A0"/>
    <w:rsid w:val="00BD791A"/>
    <w:rsid w:val="00C44AE2"/>
    <w:rsid w:val="00D000CC"/>
    <w:rsid w:val="00D14727"/>
    <w:rsid w:val="00D6599D"/>
    <w:rsid w:val="00DD6BB8"/>
    <w:rsid w:val="00F2472E"/>
    <w:rsid w:val="00FE52D0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3754"/>
  <w15:chartTrackingRefBased/>
  <w15:docId w15:val="{926896C8-63BB-4E65-95D0-E21D499F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CD"/>
  </w:style>
  <w:style w:type="paragraph" w:styleId="Footer">
    <w:name w:val="footer"/>
    <w:basedOn w:val="Normal"/>
    <w:link w:val="FooterChar"/>
    <w:uiPriority w:val="99"/>
    <w:unhideWhenUsed/>
    <w:rsid w:val="0068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9BD75BF79CC40924232ABA3AEAAF7" ma:contentTypeVersion="10" ma:contentTypeDescription="Create a new document." ma:contentTypeScope="" ma:versionID="99295623aebb4f2a8f7b4b72234aebef">
  <xsd:schema xmlns:xsd="http://www.w3.org/2001/XMLSchema" xmlns:xs="http://www.w3.org/2001/XMLSchema" xmlns:p="http://schemas.microsoft.com/office/2006/metadata/properties" xmlns:ns3="e8a91d15-b5c7-4f05-9af2-1b465f695bc9" targetNamespace="http://schemas.microsoft.com/office/2006/metadata/properties" ma:root="true" ma:fieldsID="99a185aaf028e577c0219cfb1880b652" ns3:_="">
    <xsd:import namespace="e8a91d15-b5c7-4f05-9af2-1b465f695b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91d15-b5c7-4f05-9af2-1b465f695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8F3EA-8374-48B3-9AE7-D8C18E77AF32}">
  <ds:schemaRefs>
    <ds:schemaRef ds:uri="http://purl.org/dc/dcmitype/"/>
    <ds:schemaRef ds:uri="http://purl.org/dc/terms/"/>
    <ds:schemaRef ds:uri="http://schemas.microsoft.com/office/2006/documentManagement/types"/>
    <ds:schemaRef ds:uri="e8a91d15-b5c7-4f05-9af2-1b465f695bc9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308272-4987-4C6F-B9F0-7B85629E7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037CA-C7E0-4CA1-AF0F-40084EEB1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91d15-b5c7-4f05-9af2-1b465f695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Perez</dc:creator>
  <cp:keywords/>
  <dc:description/>
  <cp:lastModifiedBy>Joseph Perez</cp:lastModifiedBy>
  <cp:revision>2</cp:revision>
  <dcterms:created xsi:type="dcterms:W3CDTF">2021-03-22T20:07:00Z</dcterms:created>
  <dcterms:modified xsi:type="dcterms:W3CDTF">2021-03-22T20:07:00Z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0x0101001349BD75BF79CC40924232ABA3AEAAF7</vt:lpwstr>
  </property>
</Properties>
</file>